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Нижний Новгород</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Нижний Новгород"</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ГЕНЕРАЛЬНЫЙ ДИРЕКТОР Спиридонов Сергей Анатольевич,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Нижний Новгород"</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603002, г Нижний Новгород, ул Интернациональная, д 100 литера д, помещ 24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5257148030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525701001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40702810814500030846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1145257005398</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603116, Нижний Новгород, ул. Маршала Казакова, 3А, оф. 415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Спиридонов С.А.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nn.gruzchikov-service.ru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info.nn@gruzchikov-service.ru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(831) 280-99-09</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Спиридонов Сергей Анатольевич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в интересах Заказчика (любые этажи, габаритный груз, до 30 кг./чел., до 100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в интересах Заказчика (любые этажи, габаритный груз, от 30 кг./чел до 60 кг./чел. до 100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490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в интересах Заказчика (вес единицы груза более 100 кг, работы с хрупким грузом, с повышенным риском, такелажные работы, срочный заказ, не позднее 90 мин., тяжелый груз)</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в интересах Заказчика (любые этажи, габаритный груз, до 30 кг./чел., до 100 кг/ед.). Тариф – смена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 длина - до  4,2 м, высота - до 2,2 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3,5 тонн по городу, длина - до  6 м, высота - до 2,5 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вывозу строительного мусора и/или ТМЦ Заказчика и/или в интересах Заказчика (контейнер- 8 куб.м, контейнер 20 куб.м,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вывозу строительного мусора и/или ТМЦ Заказчика и/или в интересах Заказчика (автомобиль до 10 тонн, до 10 куб.м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Спиридонов Сергей Анатольевич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Спиридонов Сергей Анатольевич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Спиридонов Сергей Анатольевич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Спиридонов Сергей Анатольевич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